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REFERENCES:</w:t>
      </w: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Phillip A Low &amp; Eduardo E. Benarroch Clinical Autonomic Disorders 3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rd</w:t>
      </w:r>
      <w:r>
        <w:rPr>
          <w:rFonts w:ascii="Arial" w:hAnsi="Arial" w:cs="Arial"/>
          <w:spacing w:val="-2"/>
          <w:sz w:val="22"/>
          <w:szCs w:val="22"/>
        </w:rPr>
        <w:t xml:space="preserve"> Edition: Philadelphia: Lippincott Williams &amp; Wilkins: 2008.</w:t>
      </w:r>
    </w:p>
    <w:p w:rsidR="00885349" w:rsidRDefault="00885349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</w:p>
    <w:p w:rsidR="00885349" w:rsidRDefault="00885349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Eduardo E. Benarroch. Autonomic Neurology, Oxford University Press, 2014.</w:t>
      </w: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David Robertson, Phillip A. Low &amp; Ronald J. Polinsky. </w:t>
      </w:r>
      <w:proofErr w:type="gramStart"/>
      <w:r>
        <w:rPr>
          <w:rFonts w:ascii="Arial" w:hAnsi="Arial" w:cs="Arial"/>
          <w:spacing w:val="-2"/>
          <w:sz w:val="22"/>
          <w:szCs w:val="22"/>
        </w:rPr>
        <w:t>Primer on the Autonomic Nervous System, Third Edition.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885349">
        <w:rPr>
          <w:rFonts w:ascii="Arial" w:hAnsi="Arial" w:cs="Arial"/>
          <w:spacing w:val="-2"/>
          <w:sz w:val="22"/>
          <w:szCs w:val="22"/>
        </w:rPr>
        <w:t>1996.</w:t>
      </w: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Chapter 16: Patten &amp; Thibodeau Anthony’s Textbook of Anatomy and Physiology 20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th</w:t>
      </w:r>
      <w:r>
        <w:rPr>
          <w:rFonts w:ascii="Arial" w:hAnsi="Arial" w:cs="Arial"/>
          <w:spacing w:val="-2"/>
          <w:sz w:val="22"/>
          <w:szCs w:val="22"/>
        </w:rPr>
        <w:t xml:space="preserve"> Edition: St. Louis: Mosby Elsevier: 2013.</w:t>
      </w: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886A0E" w:rsidRDefault="00886A0E" w:rsidP="00886A0E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proofErr w:type="gramStart"/>
      <w:r w:rsidRPr="00886A0E">
        <w:rPr>
          <w:rFonts w:ascii="Arial" w:hAnsi="Arial" w:cs="Arial"/>
          <w:spacing w:val="-2"/>
          <w:sz w:val="22"/>
          <w:szCs w:val="22"/>
        </w:rPr>
        <w:t xml:space="preserve">Low PA, </w:t>
      </w:r>
      <w:proofErr w:type="spellStart"/>
      <w:r w:rsidRPr="00886A0E">
        <w:rPr>
          <w:rFonts w:ascii="Arial" w:hAnsi="Arial" w:cs="Arial"/>
          <w:spacing w:val="-2"/>
          <w:sz w:val="22"/>
          <w:szCs w:val="22"/>
        </w:rPr>
        <w:t>Opfer-Gehrking</w:t>
      </w:r>
      <w:proofErr w:type="spellEnd"/>
      <w:r w:rsidRPr="00886A0E">
        <w:rPr>
          <w:rFonts w:ascii="Arial" w:hAnsi="Arial" w:cs="Arial"/>
          <w:spacing w:val="-2"/>
          <w:sz w:val="22"/>
          <w:szCs w:val="22"/>
        </w:rPr>
        <w:t xml:space="preserve"> TL, </w:t>
      </w:r>
      <w:proofErr w:type="spellStart"/>
      <w:r w:rsidRPr="00886A0E">
        <w:rPr>
          <w:rFonts w:ascii="Arial" w:hAnsi="Arial" w:cs="Arial"/>
          <w:spacing w:val="-2"/>
          <w:sz w:val="22"/>
          <w:szCs w:val="22"/>
        </w:rPr>
        <w:t>Textor</w:t>
      </w:r>
      <w:proofErr w:type="spellEnd"/>
      <w:r w:rsidRPr="00886A0E">
        <w:rPr>
          <w:rFonts w:ascii="Arial" w:hAnsi="Arial" w:cs="Arial"/>
          <w:spacing w:val="-2"/>
          <w:sz w:val="22"/>
          <w:szCs w:val="22"/>
        </w:rPr>
        <w:t xml:space="preserve"> SC, et al. Postural tachycardia syndrome (POTS).</w:t>
      </w:r>
      <w:proofErr w:type="gramEnd"/>
      <w:r w:rsidRPr="00886A0E">
        <w:rPr>
          <w:rFonts w:ascii="Arial" w:hAnsi="Arial" w:cs="Arial"/>
          <w:spacing w:val="-2"/>
          <w:sz w:val="22"/>
          <w:szCs w:val="22"/>
        </w:rPr>
        <w:t xml:space="preserve"> Neurology 1995; 45:S19-S25</w:t>
      </w:r>
    </w:p>
    <w:p w:rsidR="00886A0E" w:rsidRDefault="00886A0E" w:rsidP="00886A0E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5B73C6" w:rsidRDefault="005B73C6" w:rsidP="005B73C6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proofErr w:type="gramStart"/>
      <w:r w:rsidRPr="005B73C6">
        <w:rPr>
          <w:rFonts w:ascii="Arial" w:hAnsi="Arial" w:cs="Arial"/>
          <w:spacing w:val="-2"/>
          <w:sz w:val="22"/>
          <w:szCs w:val="22"/>
        </w:rPr>
        <w:t>The consensus committee of the American Autonomic Society and the American Academy of Neurology.</w:t>
      </w:r>
      <w:proofErr w:type="gramEnd"/>
      <w:r w:rsidRPr="005B73C6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5B73C6">
        <w:rPr>
          <w:rFonts w:ascii="Arial" w:hAnsi="Arial" w:cs="Arial"/>
          <w:spacing w:val="-2"/>
          <w:sz w:val="22"/>
          <w:szCs w:val="22"/>
        </w:rPr>
        <w:t>Consensus statement on the definition of orthostatic hypotension, pure autonomic failure, and multiple system atrophy.</w:t>
      </w:r>
      <w:proofErr w:type="gramEnd"/>
      <w:r w:rsidRPr="005B73C6">
        <w:rPr>
          <w:rFonts w:ascii="Arial" w:hAnsi="Arial" w:cs="Arial"/>
          <w:spacing w:val="-2"/>
          <w:sz w:val="22"/>
          <w:szCs w:val="22"/>
        </w:rPr>
        <w:t xml:space="preserve"> Neurology 1996</w:t>
      </w:r>
      <w:proofErr w:type="gramStart"/>
      <w:r w:rsidRPr="005B73C6">
        <w:rPr>
          <w:rFonts w:ascii="Arial" w:hAnsi="Arial" w:cs="Arial"/>
          <w:spacing w:val="-2"/>
          <w:sz w:val="22"/>
          <w:szCs w:val="22"/>
        </w:rPr>
        <w:t>;46:1470</w:t>
      </w:r>
      <w:proofErr w:type="gramEnd"/>
      <w:r>
        <w:rPr>
          <w:rFonts w:ascii="Arial" w:hAnsi="Arial" w:cs="Arial"/>
          <w:spacing w:val="-2"/>
          <w:sz w:val="22"/>
          <w:szCs w:val="22"/>
        </w:rPr>
        <w:t>.</w:t>
      </w:r>
    </w:p>
    <w:p w:rsidR="005B73C6" w:rsidRDefault="005B73C6" w:rsidP="005B73C6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1641EA" w:rsidRDefault="001641EA" w:rsidP="001641EA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proofErr w:type="spellStart"/>
      <w:r w:rsidRPr="001641EA">
        <w:rPr>
          <w:rFonts w:ascii="Arial" w:hAnsi="Arial" w:cs="Arial"/>
          <w:spacing w:val="-2"/>
          <w:sz w:val="22"/>
          <w:szCs w:val="22"/>
        </w:rPr>
        <w:t>Corbertt</w:t>
      </w:r>
      <w:proofErr w:type="spellEnd"/>
      <w:r w:rsidRPr="001641EA">
        <w:rPr>
          <w:rFonts w:ascii="Arial" w:hAnsi="Arial" w:cs="Arial"/>
          <w:spacing w:val="-2"/>
          <w:sz w:val="22"/>
          <w:szCs w:val="22"/>
        </w:rPr>
        <w:t xml:space="preserve"> JL, Some Aspects of the Autonomic Nervous System in Normal and Abnormal Man (doctoral thesis) Oxford: University of Oxford, 1969.</w:t>
      </w:r>
    </w:p>
    <w:p w:rsidR="001641EA" w:rsidRPr="001641EA" w:rsidRDefault="001641EA" w:rsidP="001641EA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1641EA" w:rsidRDefault="001641EA" w:rsidP="001641EA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 w:rsidRPr="001641EA">
        <w:rPr>
          <w:rFonts w:ascii="Arial" w:hAnsi="Arial" w:cs="Arial"/>
          <w:spacing w:val="-2"/>
          <w:sz w:val="22"/>
          <w:szCs w:val="22"/>
        </w:rPr>
        <w:t>Johnson RH, Spalding JMK. Disorders of the Autonomic Nervous System, Philadelphia: F.A. Davis. 1974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:rsidR="005B73C6" w:rsidRDefault="005B73C6" w:rsidP="00983AA0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A01BB9" w:rsidRPr="00A01BB9" w:rsidRDefault="00A01BB9" w:rsidP="00A01BB9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Privacy Rights Clearinghouse - HIPAA Basics: </w:t>
      </w:r>
      <w:r w:rsidRPr="00A01BB9">
        <w:rPr>
          <w:rFonts w:ascii="Arial" w:hAnsi="Arial" w:cs="Arial"/>
          <w:sz w:val="22"/>
          <w:szCs w:val="22"/>
        </w:rPr>
        <w:t xml:space="preserve">Medical Privacy in the Electronic Age </w:t>
      </w:r>
    </w:p>
    <w:p w:rsidR="00436B53" w:rsidRDefault="00A01BB9" w:rsidP="00A01BB9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z w:val="22"/>
          <w:szCs w:val="22"/>
        </w:rPr>
      </w:pPr>
      <w:r w:rsidRPr="00A01BB9">
        <w:rPr>
          <w:rFonts w:ascii="Arial" w:hAnsi="Arial" w:cs="Arial"/>
          <w:sz w:val="22"/>
          <w:szCs w:val="22"/>
        </w:rPr>
        <w:t xml:space="preserve"> </w:t>
      </w:r>
      <w:r w:rsidRPr="004F7D34">
        <w:rPr>
          <w:rFonts w:ascii="Arial" w:hAnsi="Arial" w:cs="Arial"/>
          <w:sz w:val="22"/>
          <w:szCs w:val="22"/>
        </w:rPr>
        <w:t>(</w:t>
      </w:r>
      <w:hyperlink r:id="rId4" w:anchor="4" w:history="1">
        <w:r w:rsidRPr="004F7D34">
          <w:rPr>
            <w:rStyle w:val="Hyperlink"/>
            <w:rFonts w:ascii="Arial" w:hAnsi="Arial" w:cs="Arial"/>
            <w:sz w:val="22"/>
            <w:szCs w:val="22"/>
          </w:rPr>
          <w:t>http://www.privacyrights.org/fs/fs8a-hipaa.htm#4</w:t>
        </w:r>
      </w:hyperlink>
      <w:r w:rsidRPr="004F7D34">
        <w:rPr>
          <w:rFonts w:ascii="Arial" w:hAnsi="Arial" w:cs="Arial"/>
          <w:sz w:val="22"/>
          <w:szCs w:val="22"/>
        </w:rPr>
        <w:t>)</w:t>
      </w:r>
    </w:p>
    <w:p w:rsidR="008476C8" w:rsidRDefault="008476C8" w:rsidP="006A77FB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6A77FB" w:rsidRPr="006A77FB" w:rsidRDefault="006A77FB" w:rsidP="006A77FB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 w:rsidRPr="006A77FB">
        <w:rPr>
          <w:rFonts w:ascii="Arial" w:hAnsi="Arial" w:cs="Arial"/>
          <w:spacing w:val="-2"/>
          <w:sz w:val="22"/>
          <w:szCs w:val="22"/>
        </w:rPr>
        <w:t>Wesley Todd “Basic Review of CV Science” 3</w:t>
      </w:r>
      <w:r w:rsidRPr="006A77FB">
        <w:rPr>
          <w:rFonts w:ascii="Arial" w:hAnsi="Arial" w:cs="Arial"/>
          <w:spacing w:val="-2"/>
          <w:sz w:val="22"/>
          <w:szCs w:val="22"/>
          <w:vertAlign w:val="superscript"/>
        </w:rPr>
        <w:t>rd</w:t>
      </w:r>
      <w:r w:rsidRPr="006A77FB">
        <w:rPr>
          <w:rFonts w:ascii="Arial" w:hAnsi="Arial" w:cs="Arial"/>
          <w:spacing w:val="-2"/>
          <w:sz w:val="22"/>
          <w:szCs w:val="22"/>
        </w:rPr>
        <w:t xml:space="preserve"> edition copyright 1999</w:t>
      </w:r>
    </w:p>
    <w:p w:rsidR="006A77FB" w:rsidRPr="006A77FB" w:rsidRDefault="006A77FB" w:rsidP="006A77FB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proofErr w:type="gramStart"/>
      <w:r w:rsidRPr="006A77FB">
        <w:rPr>
          <w:rFonts w:ascii="Arial" w:hAnsi="Arial" w:cs="Arial"/>
          <w:spacing w:val="-2"/>
          <w:sz w:val="22"/>
          <w:szCs w:val="22"/>
        </w:rPr>
        <w:t>ISBN #0-9653568-3-3.</w:t>
      </w:r>
      <w:proofErr w:type="gramEnd"/>
    </w:p>
    <w:p w:rsidR="006A77FB" w:rsidRPr="006A77FB" w:rsidRDefault="006A77FB" w:rsidP="006A77FB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6A77FB" w:rsidRPr="006A77FB" w:rsidRDefault="006A77FB" w:rsidP="006A77FB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 w:rsidRPr="006A77FB">
        <w:rPr>
          <w:rFonts w:ascii="Arial" w:hAnsi="Arial" w:cs="Arial"/>
          <w:spacing w:val="-2"/>
          <w:sz w:val="22"/>
          <w:szCs w:val="22"/>
        </w:rPr>
        <w:t>Barbara Gould, Pathophysiology for the Health Profession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6A77FB">
        <w:rPr>
          <w:rFonts w:ascii="Arial" w:hAnsi="Arial" w:cs="Arial"/>
          <w:spacing w:val="-2"/>
          <w:sz w:val="22"/>
          <w:szCs w:val="22"/>
        </w:rPr>
        <w:t xml:space="preserve"> Second Edition 2002. </w:t>
      </w:r>
    </w:p>
    <w:p w:rsidR="008476C8" w:rsidRPr="00886A0E" w:rsidRDefault="008476C8" w:rsidP="00886A0E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EF33B5" w:rsidRPr="00EF33B5" w:rsidRDefault="00EF33B5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 w:rsidRPr="00EF33B5">
        <w:rPr>
          <w:rFonts w:ascii="Arial" w:hAnsi="Arial" w:cs="Arial"/>
          <w:spacing w:val="-2"/>
          <w:sz w:val="22"/>
          <w:szCs w:val="22"/>
        </w:rPr>
        <w:t xml:space="preserve">Nancy </w:t>
      </w:r>
      <w:proofErr w:type="spellStart"/>
      <w:r w:rsidRPr="00EF33B5">
        <w:rPr>
          <w:rFonts w:ascii="Arial" w:hAnsi="Arial" w:cs="Arial"/>
          <w:spacing w:val="-2"/>
          <w:sz w:val="22"/>
          <w:szCs w:val="22"/>
        </w:rPr>
        <w:t>Kriso</w:t>
      </w:r>
      <w:proofErr w:type="spellEnd"/>
      <w:r w:rsidRPr="00EF33B5">
        <w:rPr>
          <w:rFonts w:ascii="Arial" w:hAnsi="Arial" w:cs="Arial"/>
          <w:spacing w:val="-2"/>
          <w:sz w:val="22"/>
          <w:szCs w:val="22"/>
        </w:rPr>
        <w:t xml:space="preserve"> Scott</w:t>
      </w:r>
      <w:r>
        <w:rPr>
          <w:rFonts w:ascii="Arial" w:hAnsi="Arial" w:cs="Arial"/>
          <w:spacing w:val="-2"/>
          <w:sz w:val="22"/>
          <w:szCs w:val="22"/>
        </w:rPr>
        <w:t>.</w:t>
      </w:r>
      <w:r w:rsidRPr="00EF33B5">
        <w:t xml:space="preserve"> </w:t>
      </w:r>
      <w:r w:rsidRPr="00EF33B5">
        <w:rPr>
          <w:rFonts w:ascii="Arial" w:hAnsi="Arial" w:cs="Arial"/>
          <w:spacing w:val="-2"/>
          <w:sz w:val="22"/>
          <w:szCs w:val="22"/>
        </w:rPr>
        <w:t>Infection Prevention: 2013 Review and Update for</w:t>
      </w:r>
    </w:p>
    <w:p w:rsidR="00EF33B5" w:rsidRPr="00EF33B5" w:rsidRDefault="00EF33B5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proofErr w:type="gramStart"/>
      <w:r w:rsidRPr="00EF33B5">
        <w:rPr>
          <w:rFonts w:ascii="Arial" w:hAnsi="Arial" w:cs="Arial"/>
          <w:spacing w:val="-2"/>
          <w:sz w:val="22"/>
          <w:szCs w:val="22"/>
        </w:rPr>
        <w:t>Neurodiagnostic Technologists</w:t>
      </w:r>
      <w:r>
        <w:rPr>
          <w:rFonts w:ascii="Arial" w:hAnsi="Arial" w:cs="Arial"/>
          <w:spacing w:val="-2"/>
          <w:sz w:val="22"/>
          <w:szCs w:val="22"/>
        </w:rPr>
        <w:t>.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Neurodiagn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J. </w:t>
      </w:r>
      <w:r w:rsidRPr="00EF33B5">
        <w:rPr>
          <w:rFonts w:ascii="Arial" w:hAnsi="Arial" w:cs="Arial"/>
          <w:spacing w:val="-2"/>
          <w:sz w:val="22"/>
          <w:szCs w:val="22"/>
        </w:rPr>
        <w:t>53:271–288, 2013</w:t>
      </w:r>
    </w:p>
    <w:p w:rsidR="00EF33B5" w:rsidRDefault="00EF33B5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 w:rsidRPr="00EF33B5">
        <w:rPr>
          <w:rFonts w:ascii="Arial" w:hAnsi="Arial" w:cs="Arial"/>
          <w:spacing w:val="-2"/>
          <w:sz w:val="22"/>
          <w:szCs w:val="22"/>
        </w:rPr>
        <w:t>ASET, Missouri</w:t>
      </w:r>
    </w:p>
    <w:p w:rsidR="00983AA0" w:rsidRPr="00EF33B5" w:rsidRDefault="00983AA0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EF33B5" w:rsidRDefault="00EF33B5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</w:p>
    <w:p w:rsidR="00983AA0" w:rsidRDefault="00983AA0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Other Resources:</w:t>
      </w:r>
    </w:p>
    <w:p w:rsidR="00983AA0" w:rsidRDefault="00983AA0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American Autonomic Society – www.americanautonomicsociety.org</w:t>
      </w:r>
    </w:p>
    <w:p w:rsidR="00983AA0" w:rsidRPr="00EF33B5" w:rsidRDefault="00983AA0" w:rsidP="00EF33B5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ASET: The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Neurodiagnostic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Society – www.aset.org</w:t>
      </w:r>
    </w:p>
    <w:p w:rsidR="008A0427" w:rsidRDefault="008A0427" w:rsidP="008A0427">
      <w:pPr>
        <w:tabs>
          <w:tab w:val="left" w:pos="-1440"/>
          <w:tab w:val="left" w:pos="-720"/>
          <w:tab w:val="left" w:pos="0"/>
          <w:tab w:val="left" w:pos="451"/>
          <w:tab w:val="left" w:pos="720"/>
        </w:tabs>
        <w:suppressAutoHyphens/>
        <w:ind w:left="990"/>
        <w:rPr>
          <w:rFonts w:ascii="Arial" w:hAnsi="Arial" w:cs="Arial"/>
          <w:spacing w:val="-2"/>
          <w:sz w:val="22"/>
          <w:szCs w:val="22"/>
        </w:rPr>
      </w:pPr>
    </w:p>
    <w:p w:rsidR="000E4965" w:rsidRDefault="000E4965"/>
    <w:sectPr w:rsidR="000E4965" w:rsidSect="00A9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427"/>
    <w:rsid w:val="000E4965"/>
    <w:rsid w:val="00106EB4"/>
    <w:rsid w:val="001641EA"/>
    <w:rsid w:val="001F5C95"/>
    <w:rsid w:val="00231BA1"/>
    <w:rsid w:val="00333B0A"/>
    <w:rsid w:val="00436B53"/>
    <w:rsid w:val="004E0291"/>
    <w:rsid w:val="005938D5"/>
    <w:rsid w:val="005B73C6"/>
    <w:rsid w:val="00633EF0"/>
    <w:rsid w:val="006A77FB"/>
    <w:rsid w:val="008476C8"/>
    <w:rsid w:val="00885349"/>
    <w:rsid w:val="00886A0E"/>
    <w:rsid w:val="008A0427"/>
    <w:rsid w:val="00977687"/>
    <w:rsid w:val="00983AA0"/>
    <w:rsid w:val="00A01BB9"/>
    <w:rsid w:val="00A917E0"/>
    <w:rsid w:val="00B34636"/>
    <w:rsid w:val="00EF33B5"/>
    <w:rsid w:val="00FA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B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B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92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7801">
                              <w:marLeft w:val="150"/>
                              <w:marRight w:val="1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cyrights.org/fs/fs8a-hip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 Schmelzer</dc:creator>
  <cp:lastModifiedBy>Janice</cp:lastModifiedBy>
  <cp:revision>3</cp:revision>
  <dcterms:created xsi:type="dcterms:W3CDTF">2014-05-27T16:35:00Z</dcterms:created>
  <dcterms:modified xsi:type="dcterms:W3CDTF">2014-07-02T19:07:00Z</dcterms:modified>
</cp:coreProperties>
</file>