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46" w:rsidRPr="00D8677C" w:rsidRDefault="00595546" w:rsidP="00D8677C">
      <w:pPr>
        <w:rPr>
          <w:b/>
          <w:color w:val="FF0000"/>
        </w:rPr>
      </w:pP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2193"/>
        <w:gridCol w:w="4462"/>
        <w:gridCol w:w="5310"/>
      </w:tblGrid>
      <w:tr w:rsidR="00E44FC4" w:rsidTr="00E44FC4">
        <w:tc>
          <w:tcPr>
            <w:tcW w:w="11965" w:type="dxa"/>
            <w:gridSpan w:val="3"/>
            <w:shd w:val="clear" w:color="auto" w:fill="FFFFFF" w:themeFill="background1"/>
          </w:tcPr>
          <w:p w:rsidR="00E44FC4" w:rsidRPr="00522453" w:rsidRDefault="00E44FC4" w:rsidP="00E44FC4">
            <w:pPr>
              <w:jc w:val="center"/>
              <w:rPr>
                <w:b/>
              </w:rPr>
            </w:pPr>
            <w:r>
              <w:rPr>
                <w:b/>
              </w:rPr>
              <w:t>2016 ELIGIBILITY REQUIREMENTS</w:t>
            </w:r>
          </w:p>
        </w:tc>
      </w:tr>
      <w:tr w:rsidR="00D8677C" w:rsidTr="001553F0">
        <w:tc>
          <w:tcPr>
            <w:tcW w:w="2193" w:type="dxa"/>
            <w:vMerge w:val="restart"/>
            <w:shd w:val="clear" w:color="auto" w:fill="FFFF00"/>
          </w:tcPr>
          <w:p w:rsidR="00C04CD4" w:rsidRPr="00C04CD4" w:rsidRDefault="001553F0" w:rsidP="00D8677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/>
            </w:r>
            <w:r w:rsidRPr="00C04CD4">
              <w:rPr>
                <w:b/>
                <w:sz w:val="28"/>
                <w:szCs w:val="28"/>
              </w:rPr>
              <w:t xml:space="preserve">ABRET EP </w:t>
            </w:r>
          </w:p>
          <w:p w:rsidR="00D8677C" w:rsidRPr="001553F0" w:rsidRDefault="001553F0" w:rsidP="00D8677C">
            <w:pPr>
              <w:rPr>
                <w:b/>
                <w:sz w:val="24"/>
                <w:szCs w:val="24"/>
              </w:rPr>
            </w:pPr>
            <w:r w:rsidRPr="00C04CD4">
              <w:rPr>
                <w:b/>
                <w:sz w:val="28"/>
                <w:szCs w:val="28"/>
              </w:rPr>
              <w:t>Eligibility Pathways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:rsidR="00D8677C" w:rsidRPr="00522453" w:rsidRDefault="00D8677C" w:rsidP="00D8677C">
            <w:pPr>
              <w:rPr>
                <w:b/>
              </w:rPr>
            </w:pPr>
            <w:r w:rsidRPr="00522453">
              <w:rPr>
                <w:b/>
              </w:rPr>
              <w:t>Pathway I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D8677C" w:rsidRPr="00522453" w:rsidRDefault="00D8677C" w:rsidP="00D8677C">
            <w:pPr>
              <w:rPr>
                <w:b/>
              </w:rPr>
            </w:pPr>
            <w:r w:rsidRPr="00522453">
              <w:rPr>
                <w:b/>
              </w:rPr>
              <w:t>Pathway II</w:t>
            </w:r>
          </w:p>
        </w:tc>
      </w:tr>
      <w:tr w:rsidR="00D8677C" w:rsidTr="001553F0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  <w:shd w:val="clear" w:color="auto" w:fill="FFFF00"/>
          </w:tcPr>
          <w:p w:rsidR="00D8677C" w:rsidRPr="00196B72" w:rsidRDefault="00D8677C" w:rsidP="00D8677C">
            <w:pPr>
              <w:rPr>
                <w:b/>
              </w:rPr>
            </w:pPr>
            <w:r w:rsidRPr="00196B72">
              <w:rPr>
                <w:b/>
              </w:rPr>
              <w:t xml:space="preserve">CAAHEP </w:t>
            </w:r>
            <w:r w:rsidR="00E44FC4">
              <w:rPr>
                <w:b/>
              </w:rPr>
              <w:t xml:space="preserve">NDT </w:t>
            </w:r>
            <w:r w:rsidRPr="00196B72">
              <w:rPr>
                <w:b/>
              </w:rPr>
              <w:t>Program</w:t>
            </w:r>
          </w:p>
        </w:tc>
        <w:tc>
          <w:tcPr>
            <w:tcW w:w="5310" w:type="dxa"/>
            <w:shd w:val="clear" w:color="auto" w:fill="FFFF00"/>
          </w:tcPr>
          <w:p w:rsidR="00D8677C" w:rsidRPr="00196B72" w:rsidRDefault="00D8677C" w:rsidP="00D8677C">
            <w:pPr>
              <w:rPr>
                <w:b/>
              </w:rPr>
            </w:pPr>
            <w:r w:rsidRPr="00196B72">
              <w:rPr>
                <w:b/>
              </w:rPr>
              <w:t xml:space="preserve">Employed in </w:t>
            </w:r>
            <w:proofErr w:type="spellStart"/>
            <w:r w:rsidRPr="00196B72">
              <w:rPr>
                <w:b/>
              </w:rPr>
              <w:t>Neurodiagnostics</w:t>
            </w:r>
            <w:proofErr w:type="spellEnd"/>
            <w:r w:rsidRPr="00196B72">
              <w:rPr>
                <w:b/>
              </w:rPr>
              <w:t xml:space="preserve"> with Associate’s Degree </w:t>
            </w:r>
          </w:p>
        </w:tc>
      </w:tr>
      <w:tr w:rsidR="00D8677C" w:rsidTr="001553F0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</w:tcPr>
          <w:p w:rsidR="00D8677C" w:rsidRPr="004E4A87" w:rsidRDefault="00D8677C" w:rsidP="00D8677C">
            <w:r w:rsidRPr="004E4A87">
              <w:t>Graduate – immediately eligible</w:t>
            </w:r>
          </w:p>
        </w:tc>
        <w:tc>
          <w:tcPr>
            <w:tcW w:w="5310" w:type="dxa"/>
          </w:tcPr>
          <w:p w:rsidR="00D8677C" w:rsidRDefault="00D8677C" w:rsidP="00D8677C">
            <w:r>
              <w:t xml:space="preserve">2 years </w:t>
            </w:r>
            <w:r w:rsidRPr="006F56E7">
              <w:rPr>
                <w:i/>
              </w:rPr>
              <w:t xml:space="preserve">clinical </w:t>
            </w:r>
            <w:proofErr w:type="spellStart"/>
            <w:r>
              <w:rPr>
                <w:i/>
              </w:rPr>
              <w:t>neurodiagnostic</w:t>
            </w:r>
            <w:proofErr w:type="spellEnd"/>
            <w:r>
              <w:rPr>
                <w:i/>
              </w:rPr>
              <w:t xml:space="preserve"> </w:t>
            </w:r>
            <w:r>
              <w:t>experience *</w:t>
            </w:r>
          </w:p>
        </w:tc>
      </w:tr>
      <w:tr w:rsidR="00D8677C" w:rsidTr="001553F0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</w:tcPr>
          <w:p w:rsidR="00D8677C" w:rsidRPr="00196B72" w:rsidRDefault="00D8677C" w:rsidP="00D8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CPR/BCLS certification</w:t>
            </w:r>
          </w:p>
        </w:tc>
        <w:tc>
          <w:tcPr>
            <w:tcW w:w="5310" w:type="dxa"/>
          </w:tcPr>
          <w:p w:rsidR="00D8677C" w:rsidRDefault="00D8677C" w:rsidP="00D8677C">
            <w:r>
              <w:rPr>
                <w:sz w:val="20"/>
                <w:szCs w:val="20"/>
              </w:rPr>
              <w:t>Current CPR/BCLS certification</w:t>
            </w:r>
          </w:p>
        </w:tc>
      </w:tr>
      <w:tr w:rsidR="00D8677C" w:rsidTr="001553F0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</w:tcPr>
          <w:p w:rsidR="00D8677C" w:rsidRDefault="0065512C" w:rsidP="00D8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XXXXXXXXXXXXXXXXXXXXXXXXXXXXXXXXXXXXXX</w:t>
            </w:r>
          </w:p>
        </w:tc>
        <w:tc>
          <w:tcPr>
            <w:tcW w:w="5310" w:type="dxa"/>
          </w:tcPr>
          <w:p w:rsidR="00D8677C" w:rsidRPr="005C43A7" w:rsidRDefault="00D8677C" w:rsidP="00E44FC4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Documentation of 25 clinical EP studies. 10 recorded in the last year.</w:t>
            </w:r>
            <w:r w:rsidR="00C04CD4" w:rsidRPr="005C43A7">
              <w:rPr>
                <w:sz w:val="20"/>
                <w:szCs w:val="20"/>
              </w:rPr>
              <w:t xml:space="preserve"> </w:t>
            </w:r>
          </w:p>
        </w:tc>
      </w:tr>
      <w:tr w:rsidR="00D8677C" w:rsidTr="0065512C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  <w:shd w:val="clear" w:color="auto" w:fill="auto"/>
          </w:tcPr>
          <w:p w:rsidR="00D8677C" w:rsidRDefault="0065512C" w:rsidP="00D8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XXXXXXXXXXXXXXXXXXXXXXXXXXXXXXXXXXXXXX</w:t>
            </w:r>
          </w:p>
        </w:tc>
        <w:tc>
          <w:tcPr>
            <w:tcW w:w="5310" w:type="dxa"/>
          </w:tcPr>
          <w:p w:rsidR="00D8677C" w:rsidRPr="005C43A7" w:rsidRDefault="00D8677C" w:rsidP="0091054D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 xml:space="preserve">Documentation of </w:t>
            </w:r>
            <w:r w:rsidR="0091054D">
              <w:rPr>
                <w:sz w:val="20"/>
                <w:szCs w:val="20"/>
              </w:rPr>
              <w:t>15</w:t>
            </w:r>
            <w:r w:rsidRPr="005C43A7">
              <w:rPr>
                <w:sz w:val="20"/>
                <w:szCs w:val="20"/>
              </w:rPr>
              <w:t xml:space="preserve"> hours of EP or NIOM education earned in the last 5 years.</w:t>
            </w:r>
            <w:r w:rsidR="00C04CD4" w:rsidRPr="005C43A7">
              <w:rPr>
                <w:sz w:val="20"/>
                <w:szCs w:val="20"/>
              </w:rPr>
              <w:t xml:space="preserve"> </w:t>
            </w:r>
            <w:r w:rsidR="0091054D">
              <w:rPr>
                <w:sz w:val="20"/>
                <w:szCs w:val="20"/>
              </w:rPr>
              <w:t>(30  hours will be required in 2017)</w:t>
            </w:r>
            <w:bookmarkStart w:id="0" w:name="_GoBack"/>
            <w:bookmarkEnd w:id="0"/>
          </w:p>
        </w:tc>
      </w:tr>
      <w:tr w:rsidR="00D8677C" w:rsidTr="0065512C">
        <w:tc>
          <w:tcPr>
            <w:tcW w:w="2193" w:type="dxa"/>
            <w:vMerge/>
            <w:shd w:val="clear" w:color="auto" w:fill="FFFF00"/>
          </w:tcPr>
          <w:p w:rsidR="00D8677C" w:rsidRDefault="00D8677C" w:rsidP="00D8677C"/>
        </w:tc>
        <w:tc>
          <w:tcPr>
            <w:tcW w:w="4462" w:type="dxa"/>
            <w:shd w:val="clear" w:color="auto" w:fill="auto"/>
          </w:tcPr>
          <w:p w:rsidR="00D8677C" w:rsidRPr="004E4A87" w:rsidRDefault="0065512C" w:rsidP="00D8677C">
            <w:pPr>
              <w:rPr>
                <w:b/>
              </w:rPr>
            </w:pPr>
            <w:r>
              <w:rPr>
                <w:b/>
              </w:rPr>
              <w:t>R. EP T. Ex</w:t>
            </w:r>
            <w:r w:rsidRPr="004E4A87">
              <w:rPr>
                <w:b/>
              </w:rPr>
              <w:t>amination</w:t>
            </w:r>
          </w:p>
        </w:tc>
        <w:tc>
          <w:tcPr>
            <w:tcW w:w="5310" w:type="dxa"/>
          </w:tcPr>
          <w:p w:rsidR="00D8677C" w:rsidRPr="00F11D74" w:rsidRDefault="00D8677C" w:rsidP="00D8677C">
            <w:pPr>
              <w:rPr>
                <w:b/>
              </w:rPr>
            </w:pPr>
            <w:r w:rsidRPr="00F11D74">
              <w:rPr>
                <w:b/>
              </w:rPr>
              <w:t>R. EP T. Examination</w:t>
            </w:r>
          </w:p>
        </w:tc>
      </w:tr>
    </w:tbl>
    <w:p w:rsidR="00595546" w:rsidRDefault="00595546" w:rsidP="00C04CD4">
      <w:pPr>
        <w:ind w:right="990"/>
      </w:pPr>
      <w:r>
        <w:t>*</w:t>
      </w:r>
      <w:proofErr w:type="spellStart"/>
      <w:r>
        <w:t>Neurodiagnostic</w:t>
      </w:r>
      <w:proofErr w:type="spellEnd"/>
      <w:r>
        <w:t xml:space="preserve"> experience is defined as experience in clinical EEG, EP, or NIOM for a period equivalent to 32 hours/week (1664 hours/year).  </w:t>
      </w:r>
    </w:p>
    <w:p w:rsidR="00595546" w:rsidRDefault="00E44FC4" w:rsidP="00E44FC4">
      <w:pPr>
        <w:spacing w:line="240" w:lineRule="auto"/>
        <w:ind w:left="720" w:hanging="720"/>
        <w:jc w:val="both"/>
      </w:pPr>
      <w:r>
        <w:t>1.</w:t>
      </w:r>
      <w:r>
        <w:tab/>
      </w:r>
      <w:r w:rsidR="00595546">
        <w:t xml:space="preserve">Candidates who have a current R. EEG T. </w:t>
      </w:r>
      <w:r w:rsidR="0065512C">
        <w:t xml:space="preserve">or CNIM </w:t>
      </w:r>
      <w:r w:rsidR="00595546">
        <w:t>credential are eligible to take the R. EP T. examination.</w:t>
      </w:r>
      <w:r w:rsidR="00595546" w:rsidRPr="000A015F">
        <w:t xml:space="preserve"> </w:t>
      </w:r>
      <w:r>
        <w:t xml:space="preserve">Proceed </w:t>
      </w:r>
      <w:r w:rsidR="0065512C">
        <w:t xml:space="preserve">through Credential </w:t>
      </w:r>
      <w:r w:rsidR="00595546">
        <w:t>Manager.  Your status will already be in the system once you log in.</w:t>
      </w:r>
    </w:p>
    <w:p w:rsidR="00E44FC4" w:rsidRDefault="00E44FC4" w:rsidP="00E44FC4">
      <w:pPr>
        <w:ind w:left="720" w:hanging="720"/>
        <w:rPr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2.</w:t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 w:rsidRPr="00DF2C4E">
        <w:rPr>
          <w:sz w:val="20"/>
          <w:szCs w:val="20"/>
        </w:rPr>
        <w:t xml:space="preserve">Documentation of </w:t>
      </w:r>
      <w:r>
        <w:rPr>
          <w:sz w:val="20"/>
          <w:szCs w:val="20"/>
        </w:rPr>
        <w:t>25 EP</w:t>
      </w:r>
      <w:r w:rsidRPr="00DF2C4E">
        <w:rPr>
          <w:sz w:val="20"/>
          <w:szCs w:val="20"/>
        </w:rPr>
        <w:t xml:space="preserve"> cases must be submitted</w:t>
      </w:r>
      <w:r>
        <w:rPr>
          <w:sz w:val="20"/>
          <w:szCs w:val="20"/>
        </w:rPr>
        <w:t xml:space="preserve"> (uploaded)</w:t>
      </w:r>
      <w:r w:rsidRPr="00DF2C4E">
        <w:rPr>
          <w:sz w:val="20"/>
          <w:szCs w:val="20"/>
        </w:rPr>
        <w:t xml:space="preserve"> with the application.  </w:t>
      </w:r>
      <w:r>
        <w:rPr>
          <w:sz w:val="20"/>
          <w:szCs w:val="20"/>
        </w:rPr>
        <w:t>A documentation form is available on the ABRET website under Evoked Potentials.</w:t>
      </w:r>
    </w:p>
    <w:p w:rsidR="00E44FC4" w:rsidRDefault="00E44FC4" w:rsidP="00E44FC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DF2C4E">
        <w:rPr>
          <w:sz w:val="20"/>
          <w:szCs w:val="20"/>
        </w:rPr>
        <w:t xml:space="preserve">Cases must have been </w:t>
      </w:r>
      <w:r>
        <w:rPr>
          <w:sz w:val="20"/>
          <w:szCs w:val="20"/>
        </w:rPr>
        <w:t xml:space="preserve">recorded within the last 5 years, with 10 being recorded </w:t>
      </w:r>
      <w:r w:rsidRPr="00DF2C4E">
        <w:rPr>
          <w:sz w:val="20"/>
          <w:szCs w:val="20"/>
        </w:rPr>
        <w:t>within the last 12 months</w:t>
      </w:r>
      <w:r>
        <w:rPr>
          <w:sz w:val="20"/>
          <w:szCs w:val="20"/>
        </w:rPr>
        <w:t>.</w:t>
      </w:r>
    </w:p>
    <w:p w:rsidR="00E44FC4" w:rsidRDefault="00E44FC4" w:rsidP="0026333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Clinical EP cases may not be surgical monitoring cases performed in the OR on an anesthetized patient.  </w:t>
      </w:r>
    </w:p>
    <w:p w:rsidR="005C43A7" w:rsidRPr="00263338" w:rsidRDefault="005C43A7" w:rsidP="0026333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Documentation forms will be randomly audited. Incomplete or incorrect information may delay or negate eligibility.</w:t>
      </w:r>
    </w:p>
    <w:p w:rsidR="00C04CD4" w:rsidRDefault="005C43A7" w:rsidP="00E44FC4">
      <w:pPr>
        <w:spacing w:after="0" w:line="240" w:lineRule="auto"/>
        <w:ind w:left="720" w:hanging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6</w:t>
      </w:r>
      <w:r w:rsidR="00E44FC4">
        <w:rPr>
          <w:rFonts w:asciiTheme="minorHAnsi" w:eastAsiaTheme="minorHAnsi" w:hAnsiTheme="minorHAnsi" w:cstheme="minorBidi"/>
          <w:sz w:val="20"/>
          <w:szCs w:val="20"/>
        </w:rPr>
        <w:t>.</w:t>
      </w:r>
      <w:r w:rsidR="00E44FC4">
        <w:rPr>
          <w:rFonts w:asciiTheme="minorHAnsi" w:eastAsiaTheme="minorHAnsi" w:hAnsiTheme="minorHAnsi" w:cstheme="minorBidi"/>
          <w:sz w:val="20"/>
          <w:szCs w:val="20"/>
        </w:rPr>
        <w:tab/>
      </w:r>
      <w:r w:rsidR="00C04CD4" w:rsidRPr="00C04CD4">
        <w:rPr>
          <w:rFonts w:asciiTheme="minorHAnsi" w:eastAsiaTheme="minorHAnsi" w:hAnsiTheme="minorHAnsi" w:cstheme="minorBidi"/>
          <w:sz w:val="20"/>
          <w:szCs w:val="20"/>
        </w:rPr>
        <w:t>After 3 unsuccessful attempts to pass the examination, candidates must wait one year and submit an additional 30 hours of Continuing Education before again being eligible to test.</w:t>
      </w:r>
    </w:p>
    <w:p w:rsidR="00E44FC4" w:rsidRDefault="00E44FC4" w:rsidP="00E44FC4">
      <w:pPr>
        <w:spacing w:after="0" w:line="240" w:lineRule="auto"/>
        <w:ind w:left="720" w:hanging="720"/>
        <w:rPr>
          <w:rFonts w:asciiTheme="minorHAnsi" w:eastAsiaTheme="minorHAnsi" w:hAnsiTheme="minorHAnsi" w:cstheme="minorBidi"/>
          <w:sz w:val="20"/>
          <w:szCs w:val="20"/>
        </w:rPr>
      </w:pPr>
    </w:p>
    <w:p w:rsidR="00FF426E" w:rsidRDefault="005C43A7" w:rsidP="00E44FC4">
      <w:pPr>
        <w:spacing w:after="0" w:line="240" w:lineRule="auto"/>
        <w:ind w:left="720" w:hanging="720"/>
      </w:pPr>
      <w:r>
        <w:rPr>
          <w:rFonts w:asciiTheme="minorHAnsi" w:eastAsiaTheme="minorHAnsi" w:hAnsiTheme="minorHAnsi" w:cstheme="minorBidi"/>
          <w:sz w:val="20"/>
          <w:szCs w:val="20"/>
        </w:rPr>
        <w:t>7</w:t>
      </w:r>
      <w:r w:rsidR="00E44FC4">
        <w:rPr>
          <w:rFonts w:asciiTheme="minorHAnsi" w:eastAsiaTheme="minorHAnsi" w:hAnsiTheme="minorHAnsi" w:cstheme="minorBidi"/>
          <w:sz w:val="20"/>
          <w:szCs w:val="20"/>
        </w:rPr>
        <w:t>.</w:t>
      </w:r>
      <w:r w:rsidR="00E44FC4">
        <w:rPr>
          <w:rFonts w:asciiTheme="minorHAnsi" w:eastAsiaTheme="minorHAnsi" w:hAnsiTheme="minorHAnsi" w:cstheme="minorBidi"/>
          <w:sz w:val="20"/>
          <w:szCs w:val="20"/>
        </w:rPr>
        <w:tab/>
      </w:r>
      <w:r w:rsidR="00595546">
        <w:t>The R. EP T. credential is awarded for five years.  See the options under Recertification</w:t>
      </w:r>
      <w:r w:rsidR="00D8677C">
        <w:t>.</w:t>
      </w:r>
    </w:p>
    <w:p w:rsidR="00FF426E" w:rsidRDefault="00FF426E" w:rsidP="00E44FC4">
      <w:pPr>
        <w:spacing w:after="0" w:line="240" w:lineRule="auto"/>
        <w:ind w:left="720" w:hanging="720"/>
      </w:pPr>
    </w:p>
    <w:p w:rsidR="000B7ED7" w:rsidRPr="00FF426E" w:rsidRDefault="00FF426E" w:rsidP="00FF426E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Petition of Eligibility - </w:t>
      </w:r>
      <w:r w:rsidRPr="00FF426E">
        <w:rPr>
          <w:rFonts w:asciiTheme="minorHAnsi" w:eastAsiaTheme="minorHAnsi" w:hAnsiTheme="minorHAnsi" w:cstheme="minorBidi"/>
          <w:sz w:val="20"/>
          <w:szCs w:val="20"/>
        </w:rPr>
        <w:t>Candidates who feel they have completed education equivalent to an associate’s degree, but have not earned a degree, may petition their eligibility by using the “Petition of Eligibility” form on the ABRET website and following the instructions.</w:t>
      </w:r>
      <w:r w:rsidR="00C04CD4">
        <w:br/>
      </w:r>
    </w:p>
    <w:sectPr w:rsidR="000B7ED7" w:rsidRPr="00FF426E" w:rsidSect="005C43A7">
      <w:pgSz w:w="15840" w:h="12240" w:orient="landscape"/>
      <w:pgMar w:top="360" w:right="24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2881"/>
    <w:multiLevelType w:val="hybridMultilevel"/>
    <w:tmpl w:val="23D6107C"/>
    <w:lvl w:ilvl="0" w:tplc="740445E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5B5C"/>
    <w:multiLevelType w:val="hybridMultilevel"/>
    <w:tmpl w:val="080865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3"/>
    <w:rsid w:val="000175B9"/>
    <w:rsid w:val="000517DF"/>
    <w:rsid w:val="000B7ED7"/>
    <w:rsid w:val="001553F0"/>
    <w:rsid w:val="00196B72"/>
    <w:rsid w:val="00263338"/>
    <w:rsid w:val="00287947"/>
    <w:rsid w:val="003815EA"/>
    <w:rsid w:val="003B5F8D"/>
    <w:rsid w:val="003C4341"/>
    <w:rsid w:val="004C5BA7"/>
    <w:rsid w:val="005142D7"/>
    <w:rsid w:val="00522453"/>
    <w:rsid w:val="00595546"/>
    <w:rsid w:val="005C43A7"/>
    <w:rsid w:val="005E47AA"/>
    <w:rsid w:val="00611CF3"/>
    <w:rsid w:val="00627FD7"/>
    <w:rsid w:val="0065512C"/>
    <w:rsid w:val="00667389"/>
    <w:rsid w:val="00686C2D"/>
    <w:rsid w:val="006F56E7"/>
    <w:rsid w:val="007E76D1"/>
    <w:rsid w:val="00893EFF"/>
    <w:rsid w:val="008F2B1D"/>
    <w:rsid w:val="0091054D"/>
    <w:rsid w:val="009352F5"/>
    <w:rsid w:val="00A12643"/>
    <w:rsid w:val="00A4423A"/>
    <w:rsid w:val="00B91A1D"/>
    <w:rsid w:val="00C04CD4"/>
    <w:rsid w:val="00C40EA2"/>
    <w:rsid w:val="00CB4FAC"/>
    <w:rsid w:val="00CF6C56"/>
    <w:rsid w:val="00D35C50"/>
    <w:rsid w:val="00D8677C"/>
    <w:rsid w:val="00E44FC4"/>
    <w:rsid w:val="00ED77CC"/>
    <w:rsid w:val="00EF5D5D"/>
    <w:rsid w:val="00F11D74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8D6B8-2A9A-403D-AB06-D9C60870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FA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B4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cp:lastPrinted>2015-04-08T14:48:00Z</cp:lastPrinted>
  <dcterms:created xsi:type="dcterms:W3CDTF">2015-09-03T18:21:00Z</dcterms:created>
  <dcterms:modified xsi:type="dcterms:W3CDTF">2015-11-20T20:13:00Z</dcterms:modified>
</cp:coreProperties>
</file>